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FA" w:rsidRDefault="00CC61FA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07492" w:rsidRDefault="00CC61FA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D80C92" w:rsidP="002135B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07492">
        <w:rPr>
          <w:sz w:val="28"/>
          <w:szCs w:val="28"/>
        </w:rPr>
        <w:t xml:space="preserve"> 04.12.2023 </w:t>
      </w:r>
      <w:r>
        <w:rPr>
          <w:sz w:val="28"/>
          <w:szCs w:val="28"/>
        </w:rPr>
        <w:t xml:space="preserve"> №</w:t>
      </w:r>
      <w:r w:rsidR="00207492">
        <w:rPr>
          <w:sz w:val="28"/>
          <w:szCs w:val="28"/>
        </w:rPr>
        <w:t xml:space="preserve"> 624-па</w:t>
      </w:r>
      <w:bookmarkStart w:id="0" w:name="_GoBack"/>
      <w:bookmarkEnd w:id="0"/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212F63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>» район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212F63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</w:t>
      </w:r>
      <w:r>
        <w:rPr>
          <w:sz w:val="28"/>
          <w:szCs w:val="28"/>
        </w:rPr>
        <w:lastRenderedPageBreak/>
        <w:t>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085D27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13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35B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085D27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2135BC">
        <w:rPr>
          <w:sz w:val="28"/>
          <w:szCs w:val="28"/>
        </w:rPr>
        <w:t>. Постановлен</w:t>
      </w:r>
      <w:r w:rsidR="00212F63">
        <w:rPr>
          <w:sz w:val="28"/>
          <w:szCs w:val="28"/>
        </w:rPr>
        <w:t>ие вступает в силу с 01.01.2024</w:t>
      </w:r>
      <w:r w:rsidR="002135BC"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57B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E957B5">
        <w:rPr>
          <w:sz w:val="28"/>
          <w:szCs w:val="28"/>
        </w:rPr>
        <w:t>№ _________</w:t>
      </w:r>
      <w:r>
        <w:rPr>
          <w:sz w:val="28"/>
          <w:szCs w:val="28"/>
        </w:rPr>
        <w:t xml:space="preserve"> 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EB59A4">
        <w:rPr>
          <w:b/>
          <w:sz w:val="28"/>
          <w:szCs w:val="28"/>
        </w:rPr>
        <w:t>Золотухинский</w:t>
      </w:r>
      <w:proofErr w:type="spellEnd"/>
      <w:r w:rsidRPr="00EB59A4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BF3077">
        <w:rPr>
          <w:sz w:val="28"/>
          <w:szCs w:val="28"/>
        </w:rPr>
        <w:t>нностям на 2024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="00770A1F" w:rsidRPr="008C3440">
        <w:rPr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промышленности, строительства, транспорта, связи и ЖКХ 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муниципального района «</w:t>
      </w:r>
      <w:proofErr w:type="spellStart"/>
      <w:r w:rsidRPr="00EB59A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EB59A4">
        <w:rPr>
          <w:rFonts w:ascii="Times New Roman" w:hAnsi="Times New Roman" w:cs="Times New Roman"/>
          <w:sz w:val="28"/>
          <w:szCs w:val="28"/>
        </w:rPr>
        <w:t xml:space="preserve">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Pr="00EB59A4" w:rsidRDefault="00770A1F" w:rsidP="007273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BF3077">
        <w:rPr>
          <w:rFonts w:ascii="Times New Roman" w:hAnsi="Times New Roman" w:cs="Times New Roman"/>
          <w:sz w:val="28"/>
          <w:szCs w:val="28"/>
        </w:rPr>
        <w:t>за 9 месяцев 2023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770A1F" w:rsidRPr="008804BA" w:rsidRDefault="00770A1F" w:rsidP="007273B0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BF3077">
        <w:rPr>
          <w:sz w:val="28"/>
          <w:szCs w:val="28"/>
        </w:rPr>
        <w:t xml:space="preserve"> Администрацией в 2023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  <w:proofErr w:type="gramStart"/>
      <w:r w:rsidR="008C3440" w:rsidRPr="008804BA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</w:t>
      </w:r>
      <w:r w:rsidR="008C3440" w:rsidRPr="008804BA">
        <w:rPr>
          <w:sz w:val="28"/>
          <w:szCs w:val="28"/>
        </w:rPr>
        <w:lastRenderedPageBreak/>
        <w:t xml:space="preserve">осуществлении государственного контроля (надзора) и муниципального контроля» от 26.12.2008 № 294-ФЗ, в сфере муниципального </w:t>
      </w:r>
      <w:r w:rsidR="008804BA" w:rsidRPr="008804BA">
        <w:rPr>
          <w:sz w:val="28"/>
          <w:szCs w:val="28"/>
        </w:rPr>
        <w:t>дорожного</w:t>
      </w:r>
      <w:r w:rsidR="008C3440" w:rsidRPr="008804BA">
        <w:rPr>
          <w:sz w:val="28"/>
          <w:szCs w:val="28"/>
        </w:rPr>
        <w:t xml:space="preserve"> контроля на территории му</w:t>
      </w:r>
      <w:r w:rsidR="00E957B5">
        <w:rPr>
          <w:sz w:val="28"/>
          <w:szCs w:val="28"/>
        </w:rPr>
        <w:t xml:space="preserve">ниципального образования на </w:t>
      </w:r>
      <w:r w:rsidR="00BF3077">
        <w:rPr>
          <w:sz w:val="28"/>
          <w:szCs w:val="28"/>
        </w:rPr>
        <w:t>2023</w:t>
      </w:r>
      <w:r w:rsidR="008C3440" w:rsidRPr="008804BA">
        <w:rPr>
          <w:sz w:val="28"/>
          <w:szCs w:val="28"/>
        </w:rPr>
        <w:t xml:space="preserve"> год не утверждался,  внеплановые проверки индивидуальных предпринимателей,</w:t>
      </w:r>
      <w:r w:rsidR="008804BA" w:rsidRPr="008804BA">
        <w:rPr>
          <w:sz w:val="28"/>
          <w:szCs w:val="28"/>
        </w:rPr>
        <w:t xml:space="preserve"> юридических лиц не проводились.</w:t>
      </w:r>
      <w:proofErr w:type="gramEnd"/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8440E1" w:rsidRDefault="008440E1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EB59A4">
        <w:rPr>
          <w:sz w:val="28"/>
          <w:szCs w:val="28"/>
        </w:rPr>
        <w:t>б) консультирование.</w:t>
      </w:r>
    </w:p>
    <w:p w:rsidR="008804BA" w:rsidRPr="00EB59A4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669"/>
        <w:gridCol w:w="2340"/>
        <w:gridCol w:w="2610"/>
      </w:tblGrid>
      <w:tr w:rsidR="005C7E0F" w:rsidRPr="00EB59A4" w:rsidTr="008804BA">
        <w:trPr>
          <w:trHeight w:hRule="exact"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ab/>
            </w:r>
            <w:r w:rsidR="005C7E0F" w:rsidRPr="00EB59A4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="005C7E0F" w:rsidRPr="00EB59A4">
              <w:rPr>
                <w:b/>
                <w:sz w:val="28"/>
                <w:szCs w:val="28"/>
              </w:rPr>
              <w:t>п</w:t>
            </w:r>
            <w:proofErr w:type="gramEnd"/>
            <w:r w:rsidR="005C7E0F" w:rsidRPr="00EB59A4">
              <w:rPr>
                <w:b/>
                <w:sz w:val="28"/>
                <w:szCs w:val="28"/>
              </w:rPr>
              <w:t>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8804BA">
        <w:trPr>
          <w:trHeight w:hRule="exact" w:val="3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C7E0F" w:rsidRPr="00EB59A4" w:rsidRDefault="005C7E0F" w:rsidP="00155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F" w:rsidRPr="00EB59A4" w:rsidRDefault="005C7E0F" w:rsidP="0015567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отдела промышленности, строительства, транспорта, связи и ЖКХ Администрации </w:t>
            </w:r>
            <w:proofErr w:type="spellStart"/>
            <w:r w:rsidRPr="00EB59A4">
              <w:rPr>
                <w:sz w:val="28"/>
                <w:szCs w:val="28"/>
              </w:rPr>
              <w:t>Золотухинского</w:t>
            </w:r>
            <w:proofErr w:type="spellEnd"/>
            <w:r w:rsidRPr="00EB59A4">
              <w:rPr>
                <w:sz w:val="28"/>
                <w:szCs w:val="28"/>
              </w:rPr>
              <w:t xml:space="preserve"> района</w:t>
            </w:r>
          </w:p>
        </w:tc>
      </w:tr>
      <w:tr w:rsidR="008440E1" w:rsidRPr="00EB59A4" w:rsidTr="007273B0">
        <w:trPr>
          <w:trHeight w:hRule="exact" w:val="3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59A4">
              <w:rPr>
                <w:sz w:val="28"/>
                <w:szCs w:val="28"/>
              </w:rPr>
              <w:t xml:space="preserve">начальник отдела промышленности, строительства, транспорта, связи и ЖКХ Администрации </w:t>
            </w:r>
            <w:proofErr w:type="spellStart"/>
            <w:r w:rsidRPr="00EB59A4">
              <w:rPr>
                <w:sz w:val="28"/>
                <w:szCs w:val="28"/>
              </w:rPr>
              <w:t>Золотухинского</w:t>
            </w:r>
            <w:proofErr w:type="spellEnd"/>
            <w:r w:rsidRPr="00EB59A4">
              <w:rPr>
                <w:sz w:val="28"/>
                <w:szCs w:val="28"/>
              </w:rPr>
              <w:t xml:space="preserve"> района</w:t>
            </w:r>
          </w:p>
        </w:tc>
      </w:tr>
      <w:tr w:rsidR="005C7E0F" w:rsidRPr="00EB59A4" w:rsidTr="00E65051">
        <w:trPr>
          <w:trHeight w:hRule="exact" w:val="4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B59A4" w:rsidRDefault="00E65051" w:rsidP="00E65051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</w:t>
            </w:r>
            <w:proofErr w:type="spellStart"/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лицв</w:t>
            </w:r>
            <w:proofErr w:type="spellEnd"/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 устной форме может осуществляться также на собраниях и конференциях граждан. </w:t>
            </w:r>
          </w:p>
          <w:p w:rsidR="00E65051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E07E6D" w:rsidP="00155679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  <w:tr w:rsidR="008804BA" w:rsidRPr="00EB59A4" w:rsidTr="007273B0">
        <w:trPr>
          <w:trHeight w:hRule="exact" w:val="76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</w:tbl>
    <w:p w:rsidR="008804BA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       </w:t>
      </w:r>
    </w:p>
    <w:p w:rsidR="00E07E6D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E6D" w:rsidRPr="00EB59A4">
        <w:rPr>
          <w:sz w:val="28"/>
          <w:szCs w:val="28"/>
        </w:rPr>
        <w:t xml:space="preserve">В положении о виде контроля не </w:t>
      </w:r>
      <w:proofErr w:type="gramStart"/>
      <w:r w:rsidR="00E07E6D" w:rsidRPr="00EB59A4">
        <w:rPr>
          <w:sz w:val="28"/>
          <w:szCs w:val="28"/>
        </w:rPr>
        <w:t>предусмотрены</w:t>
      </w:r>
      <w:proofErr w:type="gramEnd"/>
      <w:r w:rsidR="00E07E6D" w:rsidRPr="00EB59A4">
        <w:rPr>
          <w:sz w:val="28"/>
          <w:szCs w:val="28"/>
        </w:rPr>
        <w:t>:</w:t>
      </w:r>
    </w:p>
    <w:p w:rsidR="007273B0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</w:t>
      </w:r>
      <w:r w:rsidRPr="00EB59A4">
        <w:rPr>
          <w:sz w:val="28"/>
          <w:szCs w:val="28"/>
          <w:shd w:val="clear" w:color="auto" w:fill="FFFFFF"/>
        </w:rPr>
        <w:t>ообследование</w:t>
      </w:r>
      <w:proofErr w:type="spellEnd"/>
      <w:r w:rsidRPr="00EB59A4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EB59A4">
        <w:rPr>
          <w:sz w:val="28"/>
          <w:szCs w:val="28"/>
          <w:shd w:val="clear" w:color="auto" w:fill="FFFFFF"/>
        </w:rPr>
        <w:t>связи</w:t>
      </w:r>
      <w:proofErr w:type="gramEnd"/>
      <w:r w:rsidRPr="00EB59A4">
        <w:rPr>
          <w:sz w:val="28"/>
          <w:szCs w:val="28"/>
          <w:shd w:val="clear" w:color="auto" w:fill="FFFFFF"/>
        </w:rPr>
        <w:t xml:space="preserve">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="008440E1" w:rsidRPr="00EB59A4">
        <w:rPr>
          <w:sz w:val="28"/>
          <w:szCs w:val="28"/>
          <w:shd w:val="clear" w:color="auto" w:fill="FFFFFF"/>
        </w:rPr>
        <w:t xml:space="preserve">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16" w:rsidRDefault="00B82A16" w:rsidP="00E65051">
      <w:r>
        <w:separator/>
      </w:r>
    </w:p>
  </w:endnote>
  <w:endnote w:type="continuationSeparator" w:id="0">
    <w:p w:rsidR="00B82A16" w:rsidRDefault="00B82A16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16" w:rsidRDefault="00B82A16" w:rsidP="00E65051">
      <w:r>
        <w:separator/>
      </w:r>
    </w:p>
  </w:footnote>
  <w:footnote w:type="continuationSeparator" w:id="0">
    <w:p w:rsidR="00B82A16" w:rsidRDefault="00B82A16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707E4"/>
    <w:rsid w:val="00085D27"/>
    <w:rsid w:val="000D6AEF"/>
    <w:rsid w:val="000E5D78"/>
    <w:rsid w:val="00183E04"/>
    <w:rsid w:val="00207492"/>
    <w:rsid w:val="00212F63"/>
    <w:rsid w:val="002135BC"/>
    <w:rsid w:val="00274F36"/>
    <w:rsid w:val="002A086C"/>
    <w:rsid w:val="002F512C"/>
    <w:rsid w:val="00347651"/>
    <w:rsid w:val="00396A1F"/>
    <w:rsid w:val="0043510D"/>
    <w:rsid w:val="00454573"/>
    <w:rsid w:val="00507A0C"/>
    <w:rsid w:val="00573721"/>
    <w:rsid w:val="005C676D"/>
    <w:rsid w:val="005C7E0F"/>
    <w:rsid w:val="005D0D6B"/>
    <w:rsid w:val="005E0F45"/>
    <w:rsid w:val="005E5F3A"/>
    <w:rsid w:val="00606B8C"/>
    <w:rsid w:val="0061568B"/>
    <w:rsid w:val="00643BDA"/>
    <w:rsid w:val="00650C3C"/>
    <w:rsid w:val="0072289A"/>
    <w:rsid w:val="007273B0"/>
    <w:rsid w:val="0073345F"/>
    <w:rsid w:val="00756555"/>
    <w:rsid w:val="00770A1F"/>
    <w:rsid w:val="00773D9F"/>
    <w:rsid w:val="008440E1"/>
    <w:rsid w:val="008804BA"/>
    <w:rsid w:val="008C3440"/>
    <w:rsid w:val="00975F0D"/>
    <w:rsid w:val="00A767E5"/>
    <w:rsid w:val="00A82AB8"/>
    <w:rsid w:val="00B12E2C"/>
    <w:rsid w:val="00B82A16"/>
    <w:rsid w:val="00BE35AA"/>
    <w:rsid w:val="00BF3077"/>
    <w:rsid w:val="00C00DE0"/>
    <w:rsid w:val="00C259C3"/>
    <w:rsid w:val="00C43054"/>
    <w:rsid w:val="00CA12E1"/>
    <w:rsid w:val="00CC37B0"/>
    <w:rsid w:val="00CC61FA"/>
    <w:rsid w:val="00D15C34"/>
    <w:rsid w:val="00D47E79"/>
    <w:rsid w:val="00D80831"/>
    <w:rsid w:val="00D80C92"/>
    <w:rsid w:val="00DA6136"/>
    <w:rsid w:val="00DC18FA"/>
    <w:rsid w:val="00E07E6D"/>
    <w:rsid w:val="00E565D7"/>
    <w:rsid w:val="00E65051"/>
    <w:rsid w:val="00E957B5"/>
    <w:rsid w:val="00EB59A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9</cp:revision>
  <cp:lastPrinted>2022-09-28T10:24:00Z</cp:lastPrinted>
  <dcterms:created xsi:type="dcterms:W3CDTF">2022-09-28T10:57:00Z</dcterms:created>
  <dcterms:modified xsi:type="dcterms:W3CDTF">2023-12-25T05:25:00Z</dcterms:modified>
</cp:coreProperties>
</file>