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CE" w:rsidRDefault="00635D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5DCE" w:rsidRDefault="00635DCE">
      <w:pPr>
        <w:pStyle w:val="ConsPlusNormal"/>
        <w:outlineLvl w:val="0"/>
      </w:pPr>
    </w:p>
    <w:p w:rsidR="00635DCE" w:rsidRDefault="00635DCE">
      <w:pPr>
        <w:pStyle w:val="ConsPlusTitle"/>
        <w:jc w:val="center"/>
        <w:outlineLvl w:val="0"/>
      </w:pPr>
      <w:r>
        <w:t>ГУБЕРНАТОР КУРСКОЙ ОБЛАСТИ</w:t>
      </w:r>
    </w:p>
    <w:p w:rsidR="00635DCE" w:rsidRDefault="00635DCE">
      <w:pPr>
        <w:pStyle w:val="ConsPlusTitle"/>
        <w:jc w:val="center"/>
      </w:pPr>
    </w:p>
    <w:p w:rsidR="00635DCE" w:rsidRDefault="00635DCE">
      <w:pPr>
        <w:pStyle w:val="ConsPlusTitle"/>
        <w:jc w:val="center"/>
      </w:pPr>
      <w:r>
        <w:t>РАСПОРЯЖЕНИЕ</w:t>
      </w:r>
    </w:p>
    <w:p w:rsidR="00635DCE" w:rsidRDefault="00635DCE">
      <w:pPr>
        <w:pStyle w:val="ConsPlusTitle"/>
        <w:jc w:val="center"/>
      </w:pPr>
      <w:r>
        <w:t>от 10 марта 2020 г. N 60-рг</w:t>
      </w:r>
    </w:p>
    <w:p w:rsidR="00635DCE" w:rsidRDefault="00635DCE">
      <w:pPr>
        <w:pStyle w:val="ConsPlusTitle"/>
        <w:jc w:val="center"/>
      </w:pPr>
    </w:p>
    <w:p w:rsidR="00635DCE" w:rsidRDefault="00635DCE">
      <w:pPr>
        <w:pStyle w:val="ConsPlusTitle"/>
        <w:jc w:val="center"/>
      </w:pPr>
      <w:r>
        <w:t>О ВВЕДЕНИИ РЕЖИМА ПОВЫШЕННОЙ ГОТОВНОСТИ</w:t>
      </w:r>
    </w:p>
    <w:p w:rsidR="00635DCE" w:rsidRDefault="00635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5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Курской области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6" w:history="1">
              <w:r>
                <w:rPr>
                  <w:color w:val="0000FF"/>
                </w:rPr>
                <w:t>N 95-рг</w:t>
              </w:r>
            </w:hyperlink>
            <w:r>
              <w:rPr>
                <w:color w:val="392C69"/>
              </w:rPr>
              <w:t xml:space="preserve">, от 29.03.2020 </w:t>
            </w:r>
            <w:hyperlink r:id="rId7" w:history="1">
              <w:r>
                <w:rPr>
                  <w:color w:val="0000FF"/>
                </w:rPr>
                <w:t>N 98-рг</w:t>
              </w:r>
            </w:hyperlink>
            <w:r>
              <w:rPr>
                <w:color w:val="392C69"/>
              </w:rPr>
              <w:t xml:space="preserve">, от 30.03.2020 </w:t>
            </w:r>
            <w:hyperlink r:id="rId8" w:history="1">
              <w:r>
                <w:rPr>
                  <w:color w:val="0000FF"/>
                </w:rPr>
                <w:t>N 103-рг</w:t>
              </w:r>
            </w:hyperlink>
            <w:r>
              <w:rPr>
                <w:color w:val="392C69"/>
              </w:rPr>
              <w:t>,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9" w:history="1">
              <w:r>
                <w:rPr>
                  <w:color w:val="0000FF"/>
                </w:rPr>
                <w:t>N 111-рг</w:t>
              </w:r>
            </w:hyperlink>
            <w:r>
              <w:rPr>
                <w:color w:val="392C69"/>
              </w:rPr>
              <w:t xml:space="preserve">, от 05.04.2020 </w:t>
            </w:r>
            <w:hyperlink r:id="rId10" w:history="1">
              <w:r>
                <w:rPr>
                  <w:color w:val="0000FF"/>
                </w:rPr>
                <w:t>N 112-рг</w:t>
              </w:r>
            </w:hyperlink>
            <w:r>
              <w:rPr>
                <w:color w:val="392C69"/>
              </w:rPr>
              <w:t xml:space="preserve">, от 06.04.2020 </w:t>
            </w:r>
            <w:hyperlink r:id="rId11" w:history="1">
              <w:r>
                <w:rPr>
                  <w:color w:val="0000FF"/>
                </w:rPr>
                <w:t>N 116-рг</w:t>
              </w:r>
            </w:hyperlink>
            <w:r>
              <w:rPr>
                <w:color w:val="392C69"/>
              </w:rPr>
              <w:t>,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2" w:history="1">
              <w:r>
                <w:rPr>
                  <w:color w:val="0000FF"/>
                </w:rPr>
                <w:t>N 122-рг</w:t>
              </w:r>
            </w:hyperlink>
            <w:r>
              <w:rPr>
                <w:color w:val="392C69"/>
              </w:rPr>
              <w:t xml:space="preserve">, от 15.04.2020 </w:t>
            </w:r>
            <w:hyperlink r:id="rId13" w:history="1">
              <w:r>
                <w:rPr>
                  <w:color w:val="0000FF"/>
                </w:rPr>
                <w:t>N 135-рг</w:t>
              </w:r>
            </w:hyperlink>
            <w:r>
              <w:rPr>
                <w:color w:val="392C69"/>
              </w:rPr>
              <w:t xml:space="preserve">, от 17.04.2020 </w:t>
            </w:r>
            <w:hyperlink r:id="rId14" w:history="1">
              <w:r>
                <w:rPr>
                  <w:color w:val="0000FF"/>
                </w:rPr>
                <w:t>N 137-рг</w:t>
              </w:r>
            </w:hyperlink>
            <w:r>
              <w:rPr>
                <w:color w:val="392C69"/>
              </w:rPr>
              <w:t>,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15" w:history="1">
              <w:r>
                <w:rPr>
                  <w:color w:val="0000FF"/>
                </w:rPr>
                <w:t>N 140-рг</w:t>
              </w:r>
            </w:hyperlink>
            <w:r>
              <w:rPr>
                <w:color w:val="392C69"/>
              </w:rPr>
              <w:t xml:space="preserve">, от 21.04.2020 </w:t>
            </w:r>
            <w:hyperlink r:id="rId16" w:history="1">
              <w:r>
                <w:rPr>
                  <w:color w:val="0000FF"/>
                </w:rPr>
                <w:t>N 145-рг</w:t>
              </w:r>
            </w:hyperlink>
            <w:r>
              <w:rPr>
                <w:color w:val="392C69"/>
              </w:rPr>
              <w:t xml:space="preserve">, от 22.04.2020 </w:t>
            </w:r>
            <w:hyperlink r:id="rId17" w:history="1">
              <w:r>
                <w:rPr>
                  <w:color w:val="0000FF"/>
                </w:rPr>
                <w:t>N 151-рг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35DCE" w:rsidRDefault="00635DCE">
      <w:pPr>
        <w:pStyle w:val="ConsPlusNormal"/>
        <w:jc w:val="center"/>
      </w:pPr>
    </w:p>
    <w:p w:rsidR="00635DCE" w:rsidRDefault="00635DCE">
      <w:pPr>
        <w:pStyle w:val="ConsPlusNormal"/>
        <w:ind w:firstLine="540"/>
        <w:jc w:val="both"/>
      </w:pPr>
      <w:r>
        <w:t xml:space="preserve">В связи с угрозой распространения в Курской области новой коронавирусной инфекции (COVID-19), в соответствии с </w:t>
      </w:r>
      <w:hyperlink r:id="rId18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и в целях обеспечения безопасности здоровья населения: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1. Ввести на территории Курской области режим повышенной готовности.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Временно приостановить на территории Курской области: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2.1.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2.2. 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2.3. С 28 марта 2020 года по 30 апреля 2020 года включительно: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2.3.1. Работу ресторанов,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2.3.2. Работу объектов розничной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 </w:t>
      </w:r>
      <w:hyperlink w:anchor="P118" w:history="1">
        <w:r>
          <w:rPr>
            <w:color w:val="0000FF"/>
          </w:rPr>
          <w:t>приложении N 1</w:t>
        </w:r>
      </w:hyperlink>
      <w:r>
        <w:t xml:space="preserve"> к настоящему распоряжению, продажи товаров дистанционным способом, в том числе с условием доставки.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2.3.3. Работу салонов красоты, косметических,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1" w:name="P24"/>
      <w:bookmarkEnd w:id="1"/>
      <w:r>
        <w:lastRenderedPageBreak/>
        <w:t>3. Ввести запрет на курение кальянов в общественных местах.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4. 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оперативно предоставлять на утверждение в комитет транспорта и автомобильных дорог Курской области проекты расписаний движения общественного транспорта с учетом сложившегося пассажиропотока.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Комитету транспорта и автомобильных дорог Курской области осуществлять рассмотрение проектов расписаний движения общественного транспорта не позднее двух рабочих дней с даты их поступления от организаций и индивидуальных предпринимателей, осуществляющих перевозки общественным транспортом по межмуниципальным маршрутам регулярного сообщения.</w:t>
      </w:r>
    </w:p>
    <w:p w:rsidR="00635DCE" w:rsidRDefault="00635DCE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22.04.2020 N 151-рг)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2" w:name="P28"/>
      <w:bookmarkEnd w:id="2"/>
      <w:r>
        <w:t>5. Лицам, прибывшим на территорию Российской Федерации: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5.1.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5.2.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5.3. Соблюдать постановления санитарных врачей о нахождении в режиме изоляции на дому.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3" w:name="P32"/>
      <w:bookmarkEnd w:id="3"/>
      <w:r>
        <w:t>5.4.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4" w:name="P33"/>
      <w:bookmarkEnd w:id="4"/>
      <w:r>
        <w:t xml:space="preserve">6. Гражданам, совместно проживающим в период обеспечения изоляции с лицами, указанными в </w:t>
      </w:r>
      <w:hyperlink w:anchor="P28" w:history="1">
        <w:r>
          <w:rPr>
            <w:color w:val="0000FF"/>
          </w:rPr>
          <w:t>пункте 5</w:t>
        </w:r>
      </w:hyperlink>
      <w: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</w:t>
      </w:r>
      <w:hyperlink w:anchor="P32" w:history="1">
        <w:r>
          <w:rPr>
            <w:color w:val="0000FF"/>
          </w:rPr>
          <w:t>подпункте 5.4 пункта 5</w:t>
        </w:r>
      </w:hyperlink>
      <w:r>
        <w:t xml:space="preserve"> настоящего распоряжения, либо на срок, указанный в постановлениях санитарных врачей.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7. Гражданам, прибывшим на территорию Курской области с территорий других субъектов Российской Федерации: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сообщать о своем прибытии на территорию Курской области по номеру телефона горячей линии комитета здравоохранения Курской области +7(4712) 58-78-86;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обеспечить самоизоляцию (за исключением граждан,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5" w:name="P38"/>
      <w:bookmarkEnd w:id="5"/>
      <w:r>
        <w:t xml:space="preserve">8. 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</w:t>
      </w:r>
      <w:hyperlink w:anchor="P165" w:history="1">
        <w:r>
          <w:rPr>
            <w:color w:val="0000FF"/>
          </w:rPr>
          <w:t>приложении N 2</w:t>
        </w:r>
      </w:hyperlink>
      <w:r>
        <w:t xml:space="preserve">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 Работодателям, осуществляющим деятельность на территории Курской области: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lastRenderedPageBreak/>
        <w:t>9.1.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9.2. Оказывать работникам содействие в обеспечении соблюдения режима самоизоляции на дому.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обо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9.4. Принять меры по изоляции работников, прибывших на территорию Российской Федерации, на срок продолжительностью 14 календарных дней со дня их прибытия.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9.5. Не допускать на рабочее место и (или) территорию организации работников из числа граждан, указанных в </w:t>
      </w:r>
      <w:hyperlink w:anchor="P38" w:history="1">
        <w:r>
          <w:rPr>
            <w:color w:val="0000FF"/>
          </w:rPr>
          <w:t>пункте 8</w:t>
        </w:r>
      </w:hyperlink>
      <w: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10. Комитету здравоохранения Курской области (Е.А. Панферова):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10.1. Обеспечить возможность оформления листов нетрудоспособности без посещения медицинских организаций для лиц, указанных в </w:t>
      </w:r>
      <w:hyperlink w:anchor="P33" w:history="1">
        <w:r>
          <w:rPr>
            <w:color w:val="0000FF"/>
          </w:rPr>
          <w:t>пункте 6</w:t>
        </w:r>
      </w:hyperlink>
      <w:r>
        <w:t xml:space="preserve"> настоящего распоряжения.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10.2.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(COVID-19),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10.3.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отбору биологического материала для исследования на новую коронавирусную инфекцию (COVID-19).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11. Рекомендовать главам муниципальных образований Курской области совместно с отраслевыми органами исполнительной власти Курской области: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11.1. В связи с угрозой распространения новой коронавирусной инфекции (COVID-19) отменить проведение массовых мероприятий спортивной, культурной, развлекательной и другой направленности, в том числе с международным участием, по 30 апреля 2020 года включительно с возможностью дальнейшего продления.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11.2. При организации режима труда руководствоваться Методическими </w:t>
      </w:r>
      <w:hyperlink r:id="rId20" w:history="1">
        <w:r>
          <w:rPr>
            <w:color w:val="0000FF"/>
          </w:rPr>
          <w:t>рекомендациями</w:t>
        </w:r>
      </w:hyperlink>
      <w:r>
        <w:t xml:space="preserve">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12. Комитету образования и науки Курской области (Н.А. Пархоменко) совместно с комитетом здравоохранения Курской области (Е.А. Панферова), комитетом по культуре Курской области (Ю.Н. Полетыкина), комитетом строительства Курской области (Р.Ю. Денисов), </w:t>
      </w:r>
      <w:r>
        <w:lastRenderedPageBreak/>
        <w:t>руководителями профессиональных образовательных организаций, организаций дополнительного профессионального образования, организаций дополнительного образования, общеобразовательных организаций, находящихся в ведении отраслевых органов исполнительной власти Курской области, расположенных на территории Курской области, с 6 апреля по 30 апреля 2020 года включительно: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12.1.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12.2. Определить минимальную необходимую численность работников, обеспечивающих функционирование образовательных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12.3. Перевести максимально возможное количество работников на дистанционный режим работы.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13. Рекомендовать главам муниципальных районов (городских округов) Курской области, руководителям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образования, общеобразовательных организаций, расположенных на территории Курской области, с 6 апреля по 30 апреля 2020 года включительно: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13.1.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13.2. Определить минимальную необходимую численность работников, обеспечивающих функционирование образовательных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13.3. Перевести максимально возможное количество работников на дистанционный режим работы.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14. Рекомендовать главам муниципальных районов (городских округов):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14.1. Обеспечить в дошкольных образовательных организациях, функции и полномочия учредителей которых осуществляют органы местного самоуправления, работу дежурных групп. Обеспечить соблюдение в указанных группах санитарного режима.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14.2. 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15. Комитету образования и науки Курской области (Н.А. Пархоменко) совместно с главами муниципальных районов (городских округов)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16. Рекомендовать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</w:t>
      </w:r>
      <w:hyperlink w:anchor="P38" w:history="1">
        <w:r>
          <w:rPr>
            <w:color w:val="0000FF"/>
          </w:rPr>
          <w:t>пунктом 8</w:t>
        </w:r>
      </w:hyperlink>
      <w:r>
        <w:t xml:space="preserve">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lastRenderedPageBreak/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 Комитету по физической культуре и спорту Курской области (А.В. Спиридонов) совместно с главами муниципальных районов и городских округов Курской области, региональными спортивными федерациями, физкультурно-спортивными организациями, собственниками (балансодержателями) объектов спорта приостановить по 30 апреля 2020 года включительно с возможностью дальнейшего продления: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17.1. Проведение на территории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 на 2020 год, календарные планы органов местного самоуправления, региональных спортивных федераций, физкультурно-спортивных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17.2. Направление сборных команд Курской области и муниципальных образований для участия в физкультурных мероприятиях и спортивных мероприятиях различного уровня.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17.3. Деятельность региональных, муниципальных и частных организаций, осуществляющих подготовку спортивного резерва.</w:t>
      </w:r>
    </w:p>
    <w:p w:rsidR="00635DCE" w:rsidRDefault="00635DCE">
      <w:pPr>
        <w:pStyle w:val="ConsPlusNormal"/>
        <w:jc w:val="both"/>
      </w:pPr>
      <w:r>
        <w:t xml:space="preserve">(пп. 17.3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20.04.2020 N 140-рг)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17.4. Деятельность объектов спорта всех форм собственности.</w:t>
      </w:r>
    </w:p>
    <w:p w:rsidR="00635DCE" w:rsidRDefault="00635DCE">
      <w:pPr>
        <w:pStyle w:val="ConsPlusNormal"/>
        <w:jc w:val="both"/>
      </w:pPr>
      <w:r>
        <w:t xml:space="preserve">(пп. 17.4 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20.04.2020 N 140-рг)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18. Рекомендовать гражданам с 28 марта 2020 года по 30 апреля 2020 года включительно: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18.1. Воздержаться от посещения парка "Имени 50-летия ВЛКСМ" (Боева дача).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18.2. Воздержаться от посещения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18.3. Воздержаться от посещения религиозных объектов, а также иных мест и объектов, специально предназначенных для богослужений, молитвенных и религиозньгх собраний, религиозного почитания (паломничества).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19. Временно приостановить предоставление государственных и иных услуг в помещениях органов исполнительной власти Курской области и государственных учреждений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Ограничить предоставление государственных и муниципальных услуг в филиалах автономного учреждения Курской области "Многофункциональный центр по предоставлению государственных и муниципальных услуг" следующими видами услуг (исключительно по предварительной записи):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государственный кадастровый учет недвижимого имущества и (или) государственная регистрация прав на недвижимое имущество, предоставление сведений из Единого государственного реестра недвижимости;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регистрация, подтверждение, восстановление учетной записи на портале госуслуг.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20. Обязать: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lastRenderedPageBreak/>
        <w:t>20.1.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20.2. Органам государственной власти Курской области, органам местного самоуправления,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20.3. Граждан не покидать места проживания (пребывания), за исключением: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 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случаев следования к родственникам, находящимся в режиме самоизоляции в соответствии с </w:t>
      </w:r>
      <w:hyperlink w:anchor="P38" w:history="1">
        <w:r>
          <w:rPr>
            <w:color w:val="0000FF"/>
          </w:rPr>
          <w:t>пунктом 8</w:t>
        </w:r>
      </w:hyperlink>
      <w: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20.4. 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635DCE" w:rsidRDefault="00635DCE">
      <w:pPr>
        <w:pStyle w:val="ConsPlusNormal"/>
        <w:jc w:val="both"/>
      </w:pPr>
      <w:r>
        <w:t xml:space="preserve">(п. 20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21.04.2020 N 145-рг)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21. Управлению ветеринарии Курской области (С.Н. Турнаев) привлечь станции по борьбе с болезнями животных городских округов и муниципальных районов Курской области к работе по проведению санитарной обработки территорий, техники и помещений.</w:t>
      </w:r>
    </w:p>
    <w:p w:rsidR="00635DCE" w:rsidRDefault="00635DCE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22. Руководителям организаций Курской области, независимо от организационно-правовой формы, совместно с главами муниципальных образований Курской области в период нерабочих </w:t>
      </w:r>
      <w:r>
        <w:lastRenderedPageBreak/>
        <w:t>дней провести дезинфекцию всех помещений административных зданий и общественных мест пребывания работников.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23. Комитету жилищно-коммунального хозяйства и ТЭК Курской области (А.В. Дедов):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совместно с главами муниципальных образований Курской области обеспечить контроль за исполнением </w:t>
      </w:r>
      <w:hyperlink w:anchor="P94" w:history="1">
        <w:r>
          <w:rPr>
            <w:color w:val="0000FF"/>
          </w:rPr>
          <w:t>пункта 22</w:t>
        </w:r>
      </w:hyperlink>
      <w:r>
        <w:t xml:space="preserve"> настоящего распоряжения;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совместно с главами муниципальных образований Курской области организовать уборку территорий и санитарную обработку канализационных стоков медицинских организаций Курской области, отобранных для лечения граждан, инфицированных новой коронавирусной инфекцией (COVID-19).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24. Управлению Федеральной службы по надзору в сфере защиты прав потребителей и благополучия человека по Курской области (О.Д. Климушин), комитету по культуре Курской области (Ю.Н. Полетыкина), комитету промышленности, торговли и предпринимательства Курской области (М.Н. Аксенов), органам местного самоуправления осуществлять в пределах своих полномочий контроль за соблюдением ограничений, установленных </w:t>
      </w:r>
      <w:hyperlink w:anchor="P16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4" w:history="1">
        <w:r>
          <w:rPr>
            <w:color w:val="0000FF"/>
          </w:rPr>
          <w:t>3</w:t>
        </w:r>
      </w:hyperlink>
      <w:r>
        <w:t xml:space="preserve"> настоящего распоряжения.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25. Разрешить комитету здравоохранения Курской области и подведомственным ему медицинским организациям Курской области предусматривать авансовый платеж в размере до 100 процентов (включительно) при заключении государственных контрактов (договоров) на закупку аппаратов искусственной вентиляции легких и экстракорпоральной мембранной оксигенации (далее - оборудование), включая работы и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специалистов, необходимых для предотвращения распространения, профилактики и лечения пациентов с новой коронавирусной инфекцией (COVID-19).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 xml:space="preserve">26. Установить, что 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27. Комиссии по предупреждению и ликвидации чрезвычайных ситуаций и обеспечению пожарной безопасности Администрации Курской области обеспечить координацию действий органов государственной власти Курской области, органов местного самоуправления Курской области и организаций.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28. Заместителю Губернатора Курской области И.Г. Хмелевской ежедневно представлять Губернатору Курской области доклад о ситуации с распространением в Курской области новой коронавирусной инфекции (COVID-19), количестве заболевших, в том числе вновь выявленных случаях заражения инфекцией.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29. Контроль за исполнением настоящего распоряжения оставляю за собой.</w:t>
      </w: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right"/>
      </w:pPr>
      <w:r>
        <w:t>Губернатор</w:t>
      </w:r>
    </w:p>
    <w:p w:rsidR="00635DCE" w:rsidRDefault="00635DCE">
      <w:pPr>
        <w:pStyle w:val="ConsPlusNormal"/>
        <w:jc w:val="right"/>
      </w:pPr>
      <w:r>
        <w:t>Курской области</w:t>
      </w:r>
    </w:p>
    <w:p w:rsidR="00635DCE" w:rsidRDefault="00635DCE">
      <w:pPr>
        <w:pStyle w:val="ConsPlusNormal"/>
        <w:jc w:val="right"/>
      </w:pPr>
      <w:r>
        <w:t>Р.В.СТАРОВОЙТ</w:t>
      </w: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right"/>
        <w:outlineLvl w:val="0"/>
      </w:pPr>
      <w:r>
        <w:lastRenderedPageBreak/>
        <w:t>Приложение N 1</w:t>
      </w:r>
    </w:p>
    <w:p w:rsidR="00635DCE" w:rsidRDefault="00635DCE">
      <w:pPr>
        <w:pStyle w:val="ConsPlusNormal"/>
        <w:jc w:val="right"/>
      </w:pPr>
      <w:r>
        <w:t>к распоряжению</w:t>
      </w:r>
    </w:p>
    <w:p w:rsidR="00635DCE" w:rsidRDefault="00635DCE">
      <w:pPr>
        <w:pStyle w:val="ConsPlusNormal"/>
        <w:jc w:val="right"/>
      </w:pPr>
      <w:r>
        <w:t>Губернатора Курской области</w:t>
      </w:r>
    </w:p>
    <w:p w:rsidR="00635DCE" w:rsidRDefault="00635DCE">
      <w:pPr>
        <w:pStyle w:val="ConsPlusNormal"/>
        <w:jc w:val="right"/>
      </w:pPr>
      <w:r>
        <w:t>от 10 марта 2020 г. N 60-рг</w:t>
      </w:r>
    </w:p>
    <w:p w:rsidR="00635DCE" w:rsidRDefault="00635DCE">
      <w:pPr>
        <w:pStyle w:val="ConsPlusNormal"/>
        <w:jc w:val="center"/>
      </w:pPr>
    </w:p>
    <w:p w:rsidR="00635DCE" w:rsidRDefault="00635DCE">
      <w:pPr>
        <w:pStyle w:val="ConsPlusTitle"/>
        <w:jc w:val="center"/>
      </w:pPr>
      <w:bookmarkStart w:id="7" w:name="P118"/>
      <w:bookmarkEnd w:id="7"/>
      <w:r>
        <w:t>ПЕРЕЧЕНЬ</w:t>
      </w:r>
    </w:p>
    <w:p w:rsidR="00635DCE" w:rsidRDefault="00635DCE">
      <w:pPr>
        <w:pStyle w:val="ConsPlusTitle"/>
        <w:jc w:val="center"/>
      </w:pPr>
      <w:r>
        <w:t>НЕПРОДОВОЛЬСТВЕННЫХ ТОВАРОВ ПЕРВОЙ НЕОБХОДИМОСТИ</w:t>
      </w:r>
    </w:p>
    <w:p w:rsidR="00635DCE" w:rsidRDefault="00635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5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Курской области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от 17.04.2020 N 137-рг)</w:t>
            </w:r>
          </w:p>
        </w:tc>
      </w:tr>
    </w:tbl>
    <w:p w:rsidR="00635DCE" w:rsidRDefault="00635DCE">
      <w:pPr>
        <w:pStyle w:val="ConsPlusNormal"/>
        <w:jc w:val="center"/>
      </w:pPr>
    </w:p>
    <w:p w:rsidR="00635DCE" w:rsidRDefault="00635DCE">
      <w:pPr>
        <w:pStyle w:val="ConsPlusNormal"/>
        <w:ind w:firstLine="540"/>
        <w:jc w:val="both"/>
      </w:pPr>
      <w:r>
        <w:t>1. Санитарно-гигиеническая маска.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 Антисептик для рук.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3. Салфетки влажные.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4. Салфетки сухие.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5. Мыло туалетное.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6. Мыло хозяйственное.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7. Паста зубная.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8. Щетка зубная.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9. Бумага туалетная.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10. Гигиенические прокладки.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11. Стиральный порошок.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12. Подгузники детские.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13. Спички, коробок.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14. Свечи.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15. Пеленка для новорожденного.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16. Шампунь детский.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17. Крем от опрелостей детский.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18. Бутылочка для кормления.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19. Соска-пустышка.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20. Бензин автомобильный.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21. Дизельное топливо.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22. Сжиженный природный газ.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23. Зоотовары (включая корма для животных и ветеринарные препараты).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lastRenderedPageBreak/>
        <w:t>24. Автозапчасти (включая материалы смазочные, шины, покрышки, камеры).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25. Ритуальные принадлежности.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26. Строительные и отделочные материалы и инструменты.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27. Оборудование электрическое и кабельная продукция.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28. Семена, саженцы, посадочный материал.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29. Удобрения и ядохимикаты.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30. Предметы садово-огородные и инвентарь.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31. Очки, линзы и их части.</w:t>
      </w: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right"/>
        <w:outlineLvl w:val="0"/>
      </w:pPr>
      <w:r>
        <w:t>Приложение N 2</w:t>
      </w:r>
    </w:p>
    <w:p w:rsidR="00635DCE" w:rsidRDefault="00635DCE">
      <w:pPr>
        <w:pStyle w:val="ConsPlusNormal"/>
        <w:jc w:val="right"/>
      </w:pPr>
      <w:r>
        <w:t>к распоряжению</w:t>
      </w:r>
    </w:p>
    <w:p w:rsidR="00635DCE" w:rsidRDefault="00635DCE">
      <w:pPr>
        <w:pStyle w:val="ConsPlusNormal"/>
        <w:jc w:val="right"/>
      </w:pPr>
      <w:r>
        <w:t>Губернатора Курской области</w:t>
      </w:r>
    </w:p>
    <w:p w:rsidR="00635DCE" w:rsidRDefault="00635DCE">
      <w:pPr>
        <w:pStyle w:val="ConsPlusNormal"/>
        <w:jc w:val="right"/>
      </w:pPr>
      <w:r>
        <w:t>от 10 марта 2020 г. N 60-рг</w:t>
      </w:r>
    </w:p>
    <w:p w:rsidR="00635DCE" w:rsidRDefault="00635DCE">
      <w:pPr>
        <w:pStyle w:val="ConsPlusNormal"/>
        <w:ind w:left="540"/>
        <w:jc w:val="both"/>
      </w:pPr>
    </w:p>
    <w:p w:rsidR="00635DCE" w:rsidRDefault="00635DCE">
      <w:pPr>
        <w:pStyle w:val="ConsPlusTitle"/>
        <w:jc w:val="center"/>
      </w:pPr>
      <w:bookmarkStart w:id="8" w:name="P165"/>
      <w:bookmarkEnd w:id="8"/>
      <w:r>
        <w:t>ПЕРЕЧЕНЬ</w:t>
      </w:r>
    </w:p>
    <w:p w:rsidR="00635DCE" w:rsidRDefault="00635DCE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635DCE" w:rsidRDefault="00635D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5D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Курской области</w:t>
            </w:r>
          </w:p>
          <w:p w:rsidR="00635DCE" w:rsidRDefault="00635DCE">
            <w:pPr>
              <w:pStyle w:val="ConsPlusNormal"/>
              <w:jc w:val="center"/>
            </w:pPr>
            <w:r>
              <w:rPr>
                <w:color w:val="392C69"/>
              </w:rPr>
              <w:t>от 17.04.2020 N 137-рг)</w:t>
            </w:r>
          </w:p>
        </w:tc>
      </w:tr>
    </w:tbl>
    <w:p w:rsidR="00635DCE" w:rsidRDefault="00635DCE">
      <w:pPr>
        <w:pStyle w:val="ConsPlusNormal"/>
        <w:jc w:val="center"/>
      </w:pPr>
    </w:p>
    <w:p w:rsidR="00635DCE" w:rsidRDefault="00635DCE">
      <w:pPr>
        <w:pStyle w:val="ConsPlusNormal"/>
        <w:ind w:firstLine="540"/>
        <w:jc w:val="both"/>
      </w:pPr>
      <w: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E10.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2.1. Другая хроническая обструктивная легочная болезнь, классифицируемая в соответствии с МКБ-10 по диагнозу J44.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2.2. Астма, классифицируемая в соответствии с МКБ-10 по диагнозу J45.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2.3. Бронхоэктатическая болезнь, классифицируемая в соответствии с МКБ-10 по диагнозу J47.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2.4. Острая респираторная инфекция верхних дыхательных путей J00 - J06.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4. Наличие трансплантированных органов и тканей, классифицируемых в соответствии с МКБ-10 по диагнозу Z94.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5. Болезнь мочеполовой системы &lt;1&gt; - хроническая болезнь почек 3 - 5-й стадии, классифицируемая в соответствии с МКБ-10 по диагнозам N18.0, N18.3 - N18.5.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lastRenderedPageBreak/>
        <w:t>6. Новообразования из числа &lt;2&gt;: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6.1. Злокачественные новообразования любой локализации &lt;1&gt;, в том числе самостоятельных множественных локализаций, классифицируемые в соответствии с МКБ-10 по диагнозам C00 - C80, C97.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 &lt;1&gt;, классифицируемые в соответствии с МКБ-10 по диагнозам C81 - C96, D46.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&lt;1&gt; При режиме самоизоляции допускается посещение медицинской организации по поводу основного заболевания.</w:t>
      </w:r>
    </w:p>
    <w:p w:rsidR="00635DCE" w:rsidRDefault="00635DCE">
      <w:pPr>
        <w:pStyle w:val="ConsPlusNormal"/>
        <w:spacing w:before="220"/>
        <w:ind w:firstLine="540"/>
        <w:jc w:val="both"/>
      </w:pPr>
      <w:r>
        <w:t>&lt;2&gt; Самоизоляция не распространяется на пациентов, отнесенных к третьей клинической группе (в онкологии).</w:t>
      </w: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jc w:val="both"/>
      </w:pPr>
    </w:p>
    <w:p w:rsidR="00635DCE" w:rsidRDefault="00635D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BD4" w:rsidRDefault="00551BD4">
      <w:bookmarkStart w:id="9" w:name="_GoBack"/>
      <w:bookmarkEnd w:id="9"/>
    </w:p>
    <w:sectPr w:rsidR="00551BD4" w:rsidSect="0086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CE"/>
    <w:rsid w:val="00551BD4"/>
    <w:rsid w:val="006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D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D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7366C7B04154D4F378385E0413533EA60836899885C5A8E1BC7C4D5BA6AE0FC259DBEC99B03BD5FF576D97BE26BD46543760F12707C771DAED2IFP3F" TargetMode="External"/><Relationship Id="rId13" Type="http://schemas.openxmlformats.org/officeDocument/2006/relationships/hyperlink" Target="consultantplus://offline/ref=6F97366C7B04154D4F378385E0413533EA60836899885E5D8E1BC7C4D5BA6AE0FC259DBEC99B03BD5FF576D97BE26BD46543760F12707C771DAED2IFP3F" TargetMode="External"/><Relationship Id="rId18" Type="http://schemas.openxmlformats.org/officeDocument/2006/relationships/hyperlink" Target="consultantplus://offline/ref=6F97366C7B04154D4F379D88F62D6F3FEE6FD467918C530BDA449C9982B360B7BB6AC4FC8F9F09E90EB123D071B424903550750D0EI7P0F" TargetMode="External"/><Relationship Id="rId26" Type="http://schemas.openxmlformats.org/officeDocument/2006/relationships/hyperlink" Target="consultantplus://offline/ref=6F97366C7B04154D4F378385E0413533EA60836899885E5A861BC7C4D5BA6AE0FC259DBEC99B03BD5FF57FDF7BE26BD46543760F12707C771DAED2IFP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97366C7B04154D4F378385E0413533EA60836899885F5C851BC7C4D5BA6AE0FC259DBEC99B03BD5FF576DB7BE26BD46543760F12707C771DAED2IFP3F" TargetMode="External"/><Relationship Id="rId7" Type="http://schemas.openxmlformats.org/officeDocument/2006/relationships/hyperlink" Target="consultantplus://offline/ref=6F97366C7B04154D4F378385E0413533EA60836899885C598E1BC7C4D5BA6AE0FC259DBEC99B03BD5FF576D97BE26BD46543760F12707C771DAED2IFP3F" TargetMode="External"/><Relationship Id="rId12" Type="http://schemas.openxmlformats.org/officeDocument/2006/relationships/hyperlink" Target="consultantplus://offline/ref=6F97366C7B04154D4F378385E0413533EA60836899885C55831BC7C4D5BA6AE0FC259DBEC99B03BD5FF576D97BE26BD46543760F12707C771DAED2IFP3F" TargetMode="External"/><Relationship Id="rId17" Type="http://schemas.openxmlformats.org/officeDocument/2006/relationships/hyperlink" Target="consultantplus://offline/ref=6F97366C7B04154D4F378385E0413533EA60836899885F5C811BC7C4D5BA6AE0FC259DBEC99B03BD5FF576D97BE26BD46543760F12707C771DAED2IFP3F" TargetMode="External"/><Relationship Id="rId25" Type="http://schemas.openxmlformats.org/officeDocument/2006/relationships/hyperlink" Target="consultantplus://offline/ref=6F97366C7B04154D4F378385E0413533EA60836899885E5A861BC7C4D5BA6AE0FC259DBEC99B03BD5FF57FDF7BE26BD46543760F12707C771DAED2IFP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97366C7B04154D4F378385E0413533EA60836899885F5C831BC7C4D5BA6AE0FC259DBEC99B03BD5FF576D97BE26BD46543760F12707C771DAED2IFP3F" TargetMode="External"/><Relationship Id="rId20" Type="http://schemas.openxmlformats.org/officeDocument/2006/relationships/hyperlink" Target="consultantplus://offline/ref=6F97366C7B04154D4F379D88F62D6F3FEE6FDA6D988C530BDA449C9982B360B7BB6AC4FC8D9602BD5DFE228C34E33791325077081272796BI1P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7366C7B04154D4F378385E0413533EA60836899885C59811BC7C4D5BA6AE0FC259DBEC99B03BD5FF576D87BE26BD46543760F12707C771DAED2IFP3F" TargetMode="External"/><Relationship Id="rId11" Type="http://schemas.openxmlformats.org/officeDocument/2006/relationships/hyperlink" Target="consultantplus://offline/ref=6F97366C7B04154D4F378385E0413533EA60836899885C55821BC7C4D5BA6AE0FC259DBEC99B03BD5FF576D97BE26BD46543760F12707C771DAED2IFP3F" TargetMode="External"/><Relationship Id="rId24" Type="http://schemas.openxmlformats.org/officeDocument/2006/relationships/hyperlink" Target="consultantplus://offline/ref=6F97366C7B04154D4F379D88F62D6F3FEE6FD467918C530BDA449C9982B360B7A96A9CF08C941CBD5AEB74DD72IBP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F97366C7B04154D4F378385E0413533EA60836899885F5C851BC7C4D5BA6AE0FC259DBEC99B03BD5FF576D97BE26BD46543760F12707C771DAED2IFP3F" TargetMode="External"/><Relationship Id="rId23" Type="http://schemas.openxmlformats.org/officeDocument/2006/relationships/hyperlink" Target="consultantplus://offline/ref=6F97366C7B04154D4F378385E0413533EA60836899885F5C831BC7C4D5BA6AE0FC259DBEC99B03BD5FF576D87BE26BD46543760F12707C771DAED2IFP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F97366C7B04154D4F378385E0413533EA60836899885D5F821BC7C4D5BA6AE0FC259DBEC99B03BD5FF576D97BE26BD46543760F12707C771DAED2IFP3F" TargetMode="External"/><Relationship Id="rId19" Type="http://schemas.openxmlformats.org/officeDocument/2006/relationships/hyperlink" Target="consultantplus://offline/ref=6F97366C7B04154D4F378385E0413533EA60836899885F5C811BC7C4D5BA6AE0FC259DBEC99B03BD5FF576D97BE26BD46543760F12707C771DAED2IF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97366C7B04154D4F378385E0413533EA60836899885C548F1BC7C4D5BA6AE0FC259DBEC99B03BD5FF576DB7BE26BD46543760F12707C771DAED2IFP3F" TargetMode="External"/><Relationship Id="rId14" Type="http://schemas.openxmlformats.org/officeDocument/2006/relationships/hyperlink" Target="consultantplus://offline/ref=6F97366C7B04154D4F378385E0413533EA60836899885E5A861BC7C4D5BA6AE0FC259DBEC99B03BD5FF576D97BE26BD46543760F12707C771DAED2IFP3F" TargetMode="External"/><Relationship Id="rId22" Type="http://schemas.openxmlformats.org/officeDocument/2006/relationships/hyperlink" Target="consultantplus://offline/ref=6F97366C7B04154D4F378385E0413533EA60836899885F5C851BC7C4D5BA6AE0FC259DBEC99B03BD5FF576D57BE26BD46543760F12707C771DAED2IFP3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2020-05-12T05:15:00Z</dcterms:created>
  <dcterms:modified xsi:type="dcterms:W3CDTF">2020-05-12T05:15:00Z</dcterms:modified>
</cp:coreProperties>
</file>